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A604" w14:textId="39C23CA1" w:rsidR="0046289C" w:rsidRPr="004446F2"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916849">
        <w:rPr>
          <w:rFonts w:ascii="Arial" w:eastAsia="Arial Unicode MS" w:hAnsi="Arial" w:cs="Arial"/>
          <w:b/>
          <w:bCs/>
          <w:sz w:val="24"/>
        </w:rPr>
        <w:t>7</w:t>
      </w:r>
      <w:r w:rsidRPr="004446F2">
        <w:rPr>
          <w:rFonts w:ascii="Arial" w:eastAsia="Arial Unicode MS" w:hAnsi="Arial" w:cs="Arial"/>
          <w:b/>
          <w:bCs/>
          <w:sz w:val="24"/>
        </w:rPr>
        <w:tab/>
      </w:r>
      <w:r w:rsidR="00D2616D" w:rsidRPr="00D2616D">
        <w:rPr>
          <w:rFonts w:ascii="Arial" w:eastAsia="Arial Unicode MS" w:hAnsi="Arial" w:cs="Arial"/>
          <w:b/>
          <w:bCs/>
          <w:sz w:val="24"/>
        </w:rPr>
        <w:t>S2-2502083</w:t>
      </w:r>
    </w:p>
    <w:p w14:paraId="7EB5C9AE" w14:textId="2D21E55F" w:rsidR="00A24F28" w:rsidRPr="004446F2" w:rsidRDefault="0091684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7E7069" w:rsidRPr="004446F2">
        <w:rPr>
          <w:rFonts w:ascii="Arial" w:eastAsia="Arial Unicode MS" w:hAnsi="Arial" w:cs="Arial"/>
          <w:b/>
          <w:bCs/>
          <w:sz w:val="24"/>
        </w:rPr>
        <w:t xml:space="preserve">, </w:t>
      </w:r>
      <w:r>
        <w:rPr>
          <w:rFonts w:ascii="Arial" w:eastAsia="Arial Unicode MS" w:hAnsi="Arial" w:cs="Arial"/>
          <w:b/>
          <w:bCs/>
          <w:sz w:val="24"/>
        </w:rPr>
        <w:t>GR</w:t>
      </w:r>
      <w:r w:rsidR="00F4738E" w:rsidRPr="004446F2">
        <w:rPr>
          <w:rFonts w:ascii="Arial" w:eastAsia="Arial Unicode MS" w:hAnsi="Arial" w:cs="Arial"/>
          <w:b/>
          <w:bCs/>
          <w:sz w:val="24"/>
        </w:rPr>
        <w:t xml:space="preserve">, </w:t>
      </w:r>
      <w:r>
        <w:rPr>
          <w:rFonts w:ascii="Arial" w:eastAsia="Arial Unicode MS" w:hAnsi="Arial" w:cs="Arial"/>
          <w:b/>
          <w:bCs/>
          <w:sz w:val="24"/>
        </w:rPr>
        <w:t>17</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Pr>
          <w:rFonts w:ascii="Arial" w:eastAsia="Arial Unicode MS" w:hAnsi="Arial" w:cs="Arial"/>
          <w:b/>
          <w:bCs/>
          <w:sz w:val="24"/>
        </w:rPr>
        <w:t>February</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007E7069" w:rsidRPr="004446F2">
        <w:rPr>
          <w:rFonts w:ascii="Arial" w:eastAsia="Arial Unicode MS" w:hAnsi="Arial" w:cs="Arial"/>
          <w:b/>
          <w:bCs/>
          <w:sz w:val="24"/>
        </w:rPr>
        <w:t xml:space="preserve"> </w:t>
      </w:r>
      <w:proofErr w:type="gramStart"/>
      <w:r>
        <w:rPr>
          <w:rFonts w:ascii="Arial" w:eastAsia="Arial Unicode MS" w:hAnsi="Arial" w:cs="Arial"/>
          <w:b/>
          <w:bCs/>
          <w:sz w:val="24"/>
        </w:rPr>
        <w:t>21</w:t>
      </w:r>
      <w:r w:rsidR="007E7069" w:rsidRPr="004446F2">
        <w:rPr>
          <w:rFonts w:ascii="Arial" w:eastAsia="Arial Unicode MS" w:hAnsi="Arial" w:cs="Arial"/>
          <w:b/>
          <w:bCs/>
          <w:sz w:val="24"/>
          <w:vertAlign w:val="superscript"/>
        </w:rPr>
        <w:t>th</w:t>
      </w:r>
      <w:proofErr w:type="gramEnd"/>
      <w:r w:rsidR="007E7069" w:rsidRPr="004446F2">
        <w:rPr>
          <w:rFonts w:ascii="Arial" w:eastAsia="Arial Unicode MS" w:hAnsi="Arial" w:cs="Arial"/>
          <w:b/>
          <w:bCs/>
          <w:sz w:val="24"/>
        </w:rPr>
        <w:t xml:space="preserve"> </w:t>
      </w:r>
      <w:r>
        <w:rPr>
          <w:rFonts w:ascii="Arial" w:eastAsia="Arial Unicode MS" w:hAnsi="Arial" w:cs="Arial"/>
          <w:b/>
          <w:bCs/>
          <w:sz w:val="24"/>
        </w:rPr>
        <w:t>February</w:t>
      </w:r>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Pr>
          <w:rFonts w:ascii="Arial" w:eastAsia="Arial Unicode MS" w:hAnsi="Arial" w:cs="Arial"/>
          <w:b/>
          <w:bCs/>
          <w:sz w:val="24"/>
        </w:rPr>
        <w:t>5</w:t>
      </w:r>
      <w:r w:rsidR="0021576A" w:rsidRPr="004446F2">
        <w:rPr>
          <w:rFonts w:ascii="Arial" w:eastAsia="Arial Unicode MS" w:hAnsi="Arial" w:cs="Arial"/>
          <w:b/>
          <w:bCs/>
        </w:rPr>
        <w:tab/>
      </w:r>
      <w:r w:rsidR="00050A6B" w:rsidRPr="004446F2">
        <w:rPr>
          <w:rFonts w:ascii="Arial" w:hAnsi="Arial" w:cs="Arial"/>
          <w:b/>
          <w:bCs/>
          <w:color w:val="0000FF"/>
        </w:rPr>
        <w:t>(revision of S2-2</w:t>
      </w:r>
      <w:r w:rsidR="00D2616D">
        <w:rPr>
          <w:rFonts w:ascii="Arial" w:hAnsi="Arial" w:cs="Arial"/>
          <w:b/>
          <w:bCs/>
          <w:color w:val="0000FF"/>
        </w:rPr>
        <w:t>5</w:t>
      </w:r>
      <w:r w:rsidR="00264B34" w:rsidRPr="004446F2">
        <w:rPr>
          <w:rFonts w:ascii="Arial" w:hAnsi="Arial" w:cs="Arial"/>
          <w:b/>
          <w:bCs/>
          <w:color w:val="0000FF"/>
        </w:rPr>
        <w:t>0</w:t>
      </w:r>
      <w:r w:rsidR="00E879AF" w:rsidRPr="004446F2">
        <w:rPr>
          <w:rFonts w:ascii="Arial" w:hAnsi="Arial" w:cs="Arial"/>
          <w:b/>
          <w:bCs/>
          <w:color w:val="0000FF"/>
        </w:rPr>
        <w:t>xxxx)</w:t>
      </w:r>
    </w:p>
    <w:p w14:paraId="1F071D70" w14:textId="77777777" w:rsidR="00A24F28" w:rsidRPr="004446F2" w:rsidRDefault="00A24F28" w:rsidP="00A24F28">
      <w:pPr>
        <w:rPr>
          <w:rFonts w:ascii="Arial" w:hAnsi="Arial" w:cs="Arial"/>
        </w:rPr>
      </w:pPr>
    </w:p>
    <w:p w14:paraId="6F0103AA" w14:textId="6258BEC7"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916849">
        <w:rPr>
          <w:rFonts w:ascii="Arial" w:hAnsi="Arial" w:cs="Arial"/>
          <w:b/>
        </w:rPr>
        <w:t>NTT DOCOMO</w:t>
      </w:r>
      <w:r w:rsidR="00FD0751">
        <w:rPr>
          <w:rFonts w:ascii="Arial" w:hAnsi="Arial" w:cs="Arial"/>
          <w:b/>
        </w:rPr>
        <w:t>,</w:t>
      </w:r>
      <w:r w:rsidR="00FD0751" w:rsidRPr="00871AD0">
        <w:rPr>
          <w:rFonts w:ascii="Arial" w:hAnsi="Arial" w:cs="Arial"/>
          <w:b/>
        </w:rPr>
        <w:t xml:space="preserve"> Deutsche Telekom</w:t>
      </w:r>
      <w:r w:rsidR="00FD0751">
        <w:rPr>
          <w:rFonts w:ascii="Arial" w:hAnsi="Arial" w:cs="Arial"/>
          <w:b/>
        </w:rPr>
        <w:t xml:space="preserve">, </w:t>
      </w:r>
      <w:r w:rsidR="00FD0751" w:rsidRPr="00871AD0">
        <w:rPr>
          <w:rFonts w:ascii="Arial" w:hAnsi="Arial" w:cs="Arial"/>
          <w:b/>
        </w:rPr>
        <w:t>Philips International B.V.</w:t>
      </w:r>
      <w:r w:rsidR="00FD0751">
        <w:rPr>
          <w:rFonts w:ascii="Arial" w:hAnsi="Arial" w:cs="Arial"/>
          <w:b/>
        </w:rPr>
        <w:t xml:space="preserve">, Ericsson, </w:t>
      </w:r>
      <w:r w:rsidR="00FD0751" w:rsidRPr="00FD0751">
        <w:rPr>
          <w:rFonts w:ascii="Arial" w:hAnsi="Arial" w:cs="Arial"/>
          <w:b/>
        </w:rPr>
        <w:t>KPN N.V.</w:t>
      </w:r>
    </w:p>
    <w:p w14:paraId="14F67085" w14:textId="52A583A8"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 xml:space="preserve">Discussion on </w:t>
      </w:r>
      <w:r w:rsidR="0017104C">
        <w:rPr>
          <w:rFonts w:ascii="Arial" w:hAnsi="Arial" w:cs="Arial"/>
          <w:b/>
        </w:rPr>
        <w:t xml:space="preserve">assistance </w:t>
      </w:r>
      <w:r w:rsidR="0023499A">
        <w:rPr>
          <w:rFonts w:ascii="Arial" w:hAnsi="Arial" w:cs="Arial"/>
          <w:b/>
        </w:rPr>
        <w:t>information</w:t>
      </w:r>
      <w:r w:rsidR="0017104C">
        <w:rPr>
          <w:rFonts w:ascii="Arial" w:hAnsi="Arial" w:cs="Arial"/>
          <w:b/>
        </w:rPr>
        <w:t xml:space="preserve"> to support command procedure</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522884B3" w:rsidR="00A24F28" w:rsidRPr="004446F2"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4446F2">
        <w:rPr>
          <w:rFonts w:ascii="Arial" w:hAnsi="Arial" w:cs="Arial"/>
          <w:b/>
        </w:rPr>
        <w:t>19.</w:t>
      </w:r>
      <w:r w:rsidR="00916849">
        <w:rPr>
          <w:rFonts w:ascii="Arial" w:hAnsi="Arial" w:cs="Arial"/>
          <w:b/>
        </w:rPr>
        <w:t>1</w:t>
      </w:r>
      <w:r w:rsidR="00960E9E" w:rsidRPr="004446F2">
        <w:rPr>
          <w:rFonts w:ascii="Arial" w:hAnsi="Arial" w:cs="Arial"/>
          <w:b/>
        </w:rPr>
        <w:t>4</w:t>
      </w:r>
      <w:r w:rsidR="00916849">
        <w:rPr>
          <w:rFonts w:ascii="Arial" w:hAnsi="Arial" w:cs="Arial"/>
          <w:b/>
        </w:rPr>
        <w:t>.2</w:t>
      </w:r>
    </w:p>
    <w:p w14:paraId="2B796C64" w14:textId="0480D7A1"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091341" w:rsidRPr="00091341">
        <w:rPr>
          <w:rFonts w:ascii="Arial" w:hAnsi="Arial" w:cs="Arial"/>
          <w:b/>
        </w:rPr>
        <w:t>Architecture support of Ambient power-enabled Internet of Things (</w:t>
      </w:r>
      <w:proofErr w:type="spellStart"/>
      <w:r w:rsidR="00091341" w:rsidRPr="00091341">
        <w:rPr>
          <w:rFonts w:ascii="Arial" w:hAnsi="Arial" w:cs="Arial"/>
          <w:b/>
        </w:rPr>
        <w:t>AmbientIoT</w:t>
      </w:r>
      <w:proofErr w:type="spellEnd"/>
      <w:r w:rsidR="00091341" w:rsidRPr="00091341">
        <w:rPr>
          <w:rFonts w:ascii="Arial" w:hAnsi="Arial" w:cs="Arial"/>
          <w:b/>
        </w:rPr>
        <w:t xml:space="preserve">) </w:t>
      </w:r>
      <w:r w:rsidR="00E2205A" w:rsidRPr="004446F2">
        <w:rPr>
          <w:rFonts w:ascii="Arial" w:hAnsi="Arial" w:cs="Arial"/>
          <w:b/>
        </w:rPr>
        <w:t>/ Rel-</w:t>
      </w:r>
      <w:r w:rsidR="006B3C39" w:rsidRPr="004446F2">
        <w:rPr>
          <w:rFonts w:ascii="Arial" w:hAnsi="Arial" w:cs="Arial"/>
          <w:b/>
        </w:rPr>
        <w:t>1</w:t>
      </w:r>
      <w:r w:rsidR="001E714F" w:rsidRPr="004446F2">
        <w:rPr>
          <w:rFonts w:ascii="Arial" w:hAnsi="Arial" w:cs="Arial"/>
          <w:b/>
        </w:rPr>
        <w:t>9</w:t>
      </w:r>
    </w:p>
    <w:p w14:paraId="6C3FFB29" w14:textId="6166A1E9"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the </w:t>
      </w:r>
      <w:r w:rsidR="00916849">
        <w:rPr>
          <w:rFonts w:ascii="Arial" w:hAnsi="Arial" w:cs="Arial"/>
          <w:i/>
        </w:rPr>
        <w:t xml:space="preserve">need for </w:t>
      </w:r>
      <w:r w:rsidR="0017104C">
        <w:rPr>
          <w:rFonts w:ascii="Arial" w:hAnsi="Arial" w:cs="Arial"/>
          <w:i/>
        </w:rPr>
        <w:t>assistance data to support command procedure</w:t>
      </w:r>
    </w:p>
    <w:p w14:paraId="6D9354FE" w14:textId="77777777" w:rsidR="00A93620" w:rsidRPr="004446F2" w:rsidRDefault="00B3593E" w:rsidP="00B3593E">
      <w:pPr>
        <w:pStyle w:val="Heading1"/>
      </w:pPr>
      <w:r w:rsidRPr="004446F2">
        <w:t xml:space="preserve">1. </w:t>
      </w:r>
      <w:r w:rsidR="00B4739E" w:rsidRPr="004446F2">
        <w:t>Introduction</w:t>
      </w:r>
    </w:p>
    <w:p w14:paraId="3860F695" w14:textId="33ED6253" w:rsidR="00091341" w:rsidRPr="00091341" w:rsidRDefault="003B55A9" w:rsidP="00091341">
      <w:pPr>
        <w:rPr>
          <w:lang w:eastAsia="zh-CN"/>
        </w:rPr>
      </w:pPr>
      <w:r>
        <w:rPr>
          <w:lang w:eastAsia="zh-CN"/>
        </w:rPr>
        <w:t>This paper discusses a potential issue when there is a time delay between the AIOT NAS Inventory response and the delivery of a AIOT NAS Command request.</w:t>
      </w:r>
    </w:p>
    <w:p w14:paraId="0A8EE024" w14:textId="77777777" w:rsidR="0076782A" w:rsidRPr="004446F2" w:rsidRDefault="00F261CF" w:rsidP="00F261CF">
      <w:pPr>
        <w:pStyle w:val="Heading1"/>
        <w:rPr>
          <w:lang w:eastAsia="zh-CN"/>
        </w:rPr>
      </w:pPr>
      <w:r w:rsidRPr="004446F2">
        <w:rPr>
          <w:lang w:eastAsia="zh-CN"/>
        </w:rPr>
        <w:t>2. Discussion</w:t>
      </w:r>
    </w:p>
    <w:p w14:paraId="58B1A6BF" w14:textId="3C8BF382" w:rsidR="00B405C5" w:rsidRDefault="00B405C5" w:rsidP="00B405C5">
      <w:pPr>
        <w:pStyle w:val="Heading2"/>
        <w:rPr>
          <w:rFonts w:eastAsia="SimSun"/>
        </w:rPr>
      </w:pPr>
      <w:bookmarkStart w:id="0" w:name="_Toc175814282"/>
      <w:r w:rsidRPr="004446F2">
        <w:rPr>
          <w:rFonts w:eastAsia="SimSun"/>
        </w:rPr>
        <w:t>2.1</w:t>
      </w:r>
      <w:r w:rsidRPr="004446F2">
        <w:rPr>
          <w:rFonts w:eastAsia="SimSun"/>
        </w:rPr>
        <w:tab/>
      </w:r>
      <w:bookmarkEnd w:id="0"/>
      <w:r w:rsidR="000944A6">
        <w:rPr>
          <w:rFonts w:eastAsia="SimSun"/>
        </w:rPr>
        <w:t>Ambient IoT service operation</w:t>
      </w:r>
    </w:p>
    <w:p w14:paraId="6B928B66" w14:textId="2F4F3782" w:rsidR="000944A6" w:rsidRDefault="000944A6" w:rsidP="000944A6"/>
    <w:p w14:paraId="7E27E63B" w14:textId="193D063C" w:rsidR="000944A6" w:rsidRDefault="001408A8" w:rsidP="000944A6">
      <w:pPr>
        <w:jc w:val="center"/>
      </w:pPr>
      <w:r>
        <w:object w:dxaOrig="23425" w:dyaOrig="5660" w14:anchorId="589DCBB0">
          <v:shape id="_x0000_i1026" type="#_x0000_t75" style="width:481.5pt;height:115.9pt" o:ole="">
            <v:imagedata r:id="rId9" o:title=""/>
          </v:shape>
          <o:OLEObject Type="Embed" ProgID="Visio.Drawing.15" ShapeID="_x0000_i1026" DrawAspect="Content" ObjectID="_1800708674" r:id="rId10"/>
        </w:object>
      </w:r>
    </w:p>
    <w:p w14:paraId="58C4A495" w14:textId="04884AE6" w:rsidR="000944A6" w:rsidRDefault="000944A6" w:rsidP="00AA27B3">
      <w:pPr>
        <w:pStyle w:val="Caption"/>
        <w:jc w:val="center"/>
      </w:pPr>
      <w:r>
        <w:t>Figure 2.1-1</w:t>
      </w:r>
      <w:r w:rsidR="00AA27B3">
        <w:t xml:space="preserve"> Ambient IoT service operation</w:t>
      </w:r>
    </w:p>
    <w:p w14:paraId="5D25D55F" w14:textId="7EC5E69B" w:rsidR="00AA27B3" w:rsidRDefault="00AA27B3" w:rsidP="00AA27B3">
      <w:pPr>
        <w:pStyle w:val="Heading3"/>
      </w:pPr>
      <w:r>
        <w:t>2.1.1</w:t>
      </w:r>
      <w:r>
        <w:tab/>
      </w:r>
      <w:r w:rsidR="00500339">
        <w:t xml:space="preserve">AIOTF AIOT RAN during inventory  </w:t>
      </w:r>
    </w:p>
    <w:p w14:paraId="493EE8A8" w14:textId="2D7DB026" w:rsidR="00AA27B3" w:rsidRDefault="00AA27B3" w:rsidP="00AA27B3">
      <w:r>
        <w:t xml:space="preserve">Figure 2.1-1 </w:t>
      </w:r>
      <w:r w:rsidR="00500339">
        <w:t xml:space="preserve">illustrates an Application Function requesting a Command service operation. </w:t>
      </w:r>
      <w:proofErr w:type="gramStart"/>
      <w:r w:rsidR="00500339">
        <w:t>In order to</w:t>
      </w:r>
      <w:proofErr w:type="gramEnd"/>
      <w:r w:rsidR="00500339">
        <w:t xml:space="preserve"> perform the command, the AIOTF first triggers an inventory request to find the candidate</w:t>
      </w:r>
      <w:r w:rsidR="003D3609">
        <w:t xml:space="preserve"> Ambient IoT device. </w:t>
      </w:r>
    </w:p>
    <w:p w14:paraId="0237C7BC" w14:textId="2CE0A0BF" w:rsidR="003D3609" w:rsidRDefault="003D3609" w:rsidP="00AA27B3">
      <w:r>
        <w:t xml:space="preserve">The AIOTF forwards the inventory request to the AIOT RAN that executes an Ambient IoT paging to trigger candidate Ambient IoT device(s) to initiate Random access. </w:t>
      </w:r>
    </w:p>
    <w:p w14:paraId="0FA36566" w14:textId="4495A002" w:rsidR="003D3609" w:rsidRDefault="003D3609" w:rsidP="00AA27B3">
      <w:r>
        <w:t>In step 5, the candidate Ambient IoT device provides an Inventory response with the Ambient IoT device ID to the AIOT RAN, AIOT RAN forwards the Inventory response to the AIOTF.</w:t>
      </w:r>
    </w:p>
    <w:p w14:paraId="71B116A1" w14:textId="5669C6B9" w:rsidR="003D3609" w:rsidRDefault="003D3609" w:rsidP="003D3609">
      <w:pPr>
        <w:rPr>
          <w:b/>
          <w:bCs/>
        </w:rPr>
      </w:pPr>
      <w:r w:rsidRPr="001E0539">
        <w:rPr>
          <w:b/>
          <w:bCs/>
        </w:rPr>
        <w:t xml:space="preserve">Observation </w:t>
      </w:r>
      <w:r>
        <w:rPr>
          <w:b/>
          <w:bCs/>
        </w:rPr>
        <w:t xml:space="preserve">1: If the inventory has a subsequent command, the AIOT RAN should have </w:t>
      </w:r>
      <w:proofErr w:type="gramStart"/>
      <w:r>
        <w:rPr>
          <w:b/>
          <w:bCs/>
        </w:rPr>
        <w:t>some kind of NGAP</w:t>
      </w:r>
      <w:proofErr w:type="gramEnd"/>
      <w:r>
        <w:rPr>
          <w:b/>
          <w:bCs/>
        </w:rPr>
        <w:t xml:space="preserve"> context. If it is only an inventory without subsequent command, the AIOT RAN should not create </w:t>
      </w:r>
      <w:proofErr w:type="gramStart"/>
      <w:r>
        <w:rPr>
          <w:b/>
          <w:bCs/>
        </w:rPr>
        <w:t>some kind of NGAP</w:t>
      </w:r>
      <w:proofErr w:type="gramEnd"/>
      <w:r>
        <w:rPr>
          <w:b/>
          <w:bCs/>
        </w:rPr>
        <w:t xml:space="preserve"> context. </w:t>
      </w:r>
    </w:p>
    <w:p w14:paraId="74525EAC" w14:textId="3F75D719" w:rsidR="003D3609" w:rsidRPr="003D3609" w:rsidRDefault="003D3609" w:rsidP="00AA27B3">
      <w:pPr>
        <w:rPr>
          <w:b/>
          <w:bCs/>
        </w:rPr>
      </w:pPr>
      <w:r>
        <w:rPr>
          <w:b/>
          <w:bCs/>
        </w:rPr>
        <w:t xml:space="preserve">Proposal 1: The AIOTF indicates to AIOT RAN, as part of assistance data, </w:t>
      </w:r>
      <w:proofErr w:type="gramStart"/>
      <w:r>
        <w:rPr>
          <w:b/>
          <w:bCs/>
        </w:rPr>
        <w:t>whether or not</w:t>
      </w:r>
      <w:proofErr w:type="gramEnd"/>
      <w:r>
        <w:rPr>
          <w:b/>
          <w:bCs/>
        </w:rPr>
        <w:t xml:space="preserve"> subsequent communication is expected so that the AIOT RAN can avoid creating unnecessary NGAP kind contexts for </w:t>
      </w:r>
      <w:r>
        <w:rPr>
          <w:b/>
          <w:bCs/>
        </w:rPr>
        <w:lastRenderedPageBreak/>
        <w:t>Ambient IoT devices only performing an inventory request. The AIOT RAN can also know there is a use for an NGAP like context, easing the delivery of the subsequent command.</w:t>
      </w:r>
    </w:p>
    <w:p w14:paraId="0E3981DD" w14:textId="4593F492" w:rsidR="00191BC9" w:rsidRDefault="00191BC9" w:rsidP="00191BC9">
      <w:pPr>
        <w:pStyle w:val="Heading3"/>
      </w:pPr>
      <w:r>
        <w:t xml:space="preserve">2.1.2 </w:t>
      </w:r>
      <w:r w:rsidR="003D3609">
        <w:t xml:space="preserve">AIOTF AIOT RAN during command  </w:t>
      </w:r>
    </w:p>
    <w:p w14:paraId="734E7936" w14:textId="59D53852" w:rsidR="00055E72" w:rsidRDefault="00055E72" w:rsidP="00055E72">
      <w:r>
        <w:object w:dxaOrig="16940" w:dyaOrig="10765" w14:anchorId="0269265A">
          <v:shape id="_x0000_i1027" type="#_x0000_t75" style="width:481.15pt;height:306.4pt" o:ole="">
            <v:imagedata r:id="rId11" o:title=""/>
          </v:shape>
          <o:OLEObject Type="Embed" ProgID="Visio.Drawing.15" ShapeID="_x0000_i1027" DrawAspect="Content" ObjectID="_1800708675" r:id="rId12"/>
        </w:object>
      </w:r>
    </w:p>
    <w:p w14:paraId="7C135566" w14:textId="1E2C9CE4" w:rsidR="00055E72" w:rsidRDefault="00055E72" w:rsidP="00055E72">
      <w:pPr>
        <w:pStyle w:val="Caption"/>
        <w:jc w:val="center"/>
      </w:pPr>
      <w:r>
        <w:t>Figure 2.1.2-1 Ambient IoT command operation</w:t>
      </w:r>
    </w:p>
    <w:p w14:paraId="0535CD58" w14:textId="77777777" w:rsidR="00055E72" w:rsidRPr="00055E72" w:rsidRDefault="00055E72" w:rsidP="00055E72"/>
    <w:p w14:paraId="6F82D45E" w14:textId="50609776" w:rsidR="00482C66" w:rsidRDefault="00055E72" w:rsidP="00191BC9">
      <w:r>
        <w:t xml:space="preserve">Figure 2.1.2-1 illustrates an example of the call flow for performing a command, first inventory is performed, then a command is sent from the core to the AIOT RAN. </w:t>
      </w:r>
    </w:p>
    <w:p w14:paraId="11B568F2" w14:textId="6DBF2FF6" w:rsidR="00055E72" w:rsidRDefault="00055E72" w:rsidP="00191BC9">
      <w:r>
        <w:t xml:space="preserve">Depending on delay between Inventory response in Step 4 and the time to deliver the AIOT NAS Command request in Step 5 to the AIOT RAN, the connection to the Ambient IoT device may or may not be available. In a more favourable scenario, the connection is still </w:t>
      </w:r>
      <w:proofErr w:type="gramStart"/>
      <w:r>
        <w:t>there</w:t>
      </w:r>
      <w:proofErr w:type="gramEnd"/>
      <w:r>
        <w:t xml:space="preserve"> and the command can be easily delivered. The less favourable option would be a requirement to perform another paging/inventory to establish a connection with the device then deliver the command. The connection may be closed by either the Ambient IoT device or the AIOT RAN after the inventory. Meaning each command operation may require two inventory requests.</w:t>
      </w:r>
    </w:p>
    <w:p w14:paraId="50B9CB19" w14:textId="45D35AC9" w:rsidR="00191BC9" w:rsidRDefault="00191BC9" w:rsidP="00191BC9">
      <w:pPr>
        <w:rPr>
          <w:b/>
          <w:bCs/>
        </w:rPr>
      </w:pPr>
      <w:r w:rsidRPr="001E0539">
        <w:rPr>
          <w:b/>
          <w:bCs/>
        </w:rPr>
        <w:t xml:space="preserve">Observation 2: </w:t>
      </w:r>
      <w:r w:rsidR="00055E72">
        <w:rPr>
          <w:b/>
          <w:bCs/>
        </w:rPr>
        <w:t>It would be useful for both the AIOT RAN and Ambient IoT device</w:t>
      </w:r>
      <w:r w:rsidR="00D35DD6">
        <w:rPr>
          <w:b/>
          <w:bCs/>
        </w:rPr>
        <w:t xml:space="preserve"> to be aware</w:t>
      </w:r>
      <w:r w:rsidR="00055E72">
        <w:rPr>
          <w:b/>
          <w:bCs/>
        </w:rPr>
        <w:t xml:space="preserve"> there is a command pending after an inventory request to keep the connection established until the command has been delivered</w:t>
      </w:r>
      <w:r w:rsidR="00103E5C">
        <w:rPr>
          <w:b/>
          <w:bCs/>
        </w:rPr>
        <w:t xml:space="preserve"> to avoid duplicate inventory procedures.</w:t>
      </w:r>
    </w:p>
    <w:p w14:paraId="49ACCC96" w14:textId="099F745C" w:rsidR="008D1AA4" w:rsidRDefault="008D1AA4" w:rsidP="008D1AA4">
      <w:pPr>
        <w:rPr>
          <w:b/>
          <w:bCs/>
        </w:rPr>
      </w:pPr>
      <w:r w:rsidRPr="001E0539">
        <w:rPr>
          <w:b/>
          <w:bCs/>
        </w:rPr>
        <w:t xml:space="preserve">Observation </w:t>
      </w:r>
      <w:r>
        <w:rPr>
          <w:b/>
          <w:bCs/>
        </w:rPr>
        <w:t>3</w:t>
      </w:r>
      <w:r w:rsidRPr="001E0539">
        <w:rPr>
          <w:b/>
          <w:bCs/>
        </w:rPr>
        <w:t xml:space="preserve">: </w:t>
      </w:r>
      <w:r>
        <w:rPr>
          <w:b/>
          <w:bCs/>
        </w:rPr>
        <w:t>It is unclear if Step 6 can be executed in Alternative 2 as the AIOTF has not provided any inventory request, the AIOT RAN has no identifier to target.</w:t>
      </w:r>
    </w:p>
    <w:p w14:paraId="5AECA363" w14:textId="77777777" w:rsidR="008D1AA4" w:rsidRDefault="008D1AA4" w:rsidP="00191BC9">
      <w:pPr>
        <w:rPr>
          <w:b/>
          <w:bCs/>
        </w:rPr>
      </w:pPr>
    </w:p>
    <w:p w14:paraId="052ED8A2" w14:textId="77777777" w:rsidR="008F0B57" w:rsidRPr="004446F2" w:rsidRDefault="00AB1E11" w:rsidP="001E0539">
      <w:pPr>
        <w:pStyle w:val="Heading1"/>
        <w:ind w:left="0" w:firstLine="0"/>
        <w:rPr>
          <w:lang w:eastAsia="zh-CN"/>
        </w:rPr>
      </w:pPr>
      <w:r w:rsidRPr="004446F2">
        <w:rPr>
          <w:lang w:eastAsia="zh-CN"/>
        </w:rPr>
        <w:t>3. Conclusion and proposal</w:t>
      </w:r>
      <w:r w:rsidR="00E71C8B" w:rsidRPr="004446F2">
        <w:rPr>
          <w:lang w:eastAsia="zh-CN"/>
        </w:rPr>
        <w:t>(s)</w:t>
      </w:r>
    </w:p>
    <w:p w14:paraId="54DAD2AB" w14:textId="398C66F8" w:rsidR="00294B58" w:rsidRPr="00DD541F" w:rsidRDefault="00B55340" w:rsidP="00294B58">
      <w:pPr>
        <w:rPr>
          <w:rFonts w:eastAsiaTheme="minorEastAsia"/>
          <w:lang w:eastAsia="zh-CN"/>
        </w:rPr>
      </w:pPr>
      <w:r w:rsidRPr="004446F2">
        <w:rPr>
          <w:rFonts w:eastAsiaTheme="minorEastAsia"/>
          <w:lang w:eastAsia="zh-CN"/>
        </w:rPr>
        <w:t xml:space="preserve">Based on the </w:t>
      </w:r>
      <w:r w:rsidR="001E0539">
        <w:rPr>
          <w:rFonts w:eastAsiaTheme="minorEastAsia"/>
          <w:lang w:eastAsia="zh-CN"/>
        </w:rPr>
        <w:t xml:space="preserve">observations in clause 2, it is proposed to </w:t>
      </w:r>
      <w:r w:rsidR="002F33AC">
        <w:rPr>
          <w:rFonts w:eastAsiaTheme="minorEastAsia"/>
          <w:lang w:eastAsia="zh-CN"/>
        </w:rPr>
        <w:t>include information in the paging message that indicates an inventory is to be followed by a subsequent command and in the signalling between AIOTF and AIOT RAN include information indicating there is a subsequent command pending after the inventory</w:t>
      </w:r>
      <w:r w:rsidR="001E0539">
        <w:rPr>
          <w:rFonts w:eastAsiaTheme="minorEastAsia"/>
          <w:lang w:eastAsia="zh-CN"/>
        </w:rPr>
        <w:t xml:space="preserve"> as proposed in </w:t>
      </w:r>
      <w:r w:rsidR="009F6AE0" w:rsidRPr="009F6AE0">
        <w:rPr>
          <w:rFonts w:eastAsiaTheme="minorEastAsia"/>
          <w:lang w:eastAsia="zh-CN"/>
        </w:rPr>
        <w:t>S2-2502084</w:t>
      </w:r>
      <w:r w:rsidR="009F6AE0">
        <w:rPr>
          <w:rFonts w:eastAsiaTheme="minorEastAsia"/>
          <w:lang w:eastAsia="zh-CN"/>
        </w:rPr>
        <w:t>.</w:t>
      </w:r>
    </w:p>
    <w:sectPr w:rsidR="00294B58" w:rsidRPr="00DD541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5D6AE" w14:textId="77777777" w:rsidR="008C0634" w:rsidRDefault="008C0634">
      <w:r>
        <w:separator/>
      </w:r>
    </w:p>
    <w:p w14:paraId="4AC97CAB" w14:textId="77777777" w:rsidR="008C0634" w:rsidRDefault="008C0634"/>
  </w:endnote>
  <w:endnote w:type="continuationSeparator" w:id="0">
    <w:p w14:paraId="2CE568C3" w14:textId="77777777" w:rsidR="008C0634" w:rsidRDefault="008C0634">
      <w:r>
        <w:continuationSeparator/>
      </w:r>
    </w:p>
    <w:p w14:paraId="77F0CD57" w14:textId="77777777" w:rsidR="008C0634" w:rsidRDefault="008C0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A25C3" w14:textId="77777777" w:rsidR="008C0634" w:rsidRDefault="008C0634">
      <w:r>
        <w:separator/>
      </w:r>
    </w:p>
    <w:p w14:paraId="61578001" w14:textId="77777777" w:rsidR="008C0634" w:rsidRDefault="008C0634"/>
  </w:footnote>
  <w:footnote w:type="continuationSeparator" w:id="0">
    <w:p w14:paraId="691A21D9" w14:textId="77777777" w:rsidR="008C0634" w:rsidRDefault="008C0634">
      <w:r>
        <w:continuationSeparator/>
      </w:r>
    </w:p>
    <w:p w14:paraId="2A916411" w14:textId="77777777" w:rsidR="008C0634" w:rsidRDefault="008C0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826379">
    <w:abstractNumId w:val="16"/>
  </w:num>
  <w:num w:numId="2" w16cid:durableId="1345130744">
    <w:abstractNumId w:val="7"/>
  </w:num>
  <w:num w:numId="3" w16cid:durableId="1933397305">
    <w:abstractNumId w:val="1"/>
  </w:num>
  <w:num w:numId="4" w16cid:durableId="692535351">
    <w:abstractNumId w:val="4"/>
  </w:num>
  <w:num w:numId="5" w16cid:durableId="37973543">
    <w:abstractNumId w:val="13"/>
  </w:num>
  <w:num w:numId="6" w16cid:durableId="1597398301">
    <w:abstractNumId w:val="20"/>
  </w:num>
  <w:num w:numId="7" w16cid:durableId="734427797">
    <w:abstractNumId w:val="8"/>
  </w:num>
  <w:num w:numId="8" w16cid:durableId="1144274336">
    <w:abstractNumId w:val="12"/>
  </w:num>
  <w:num w:numId="9" w16cid:durableId="865102806">
    <w:abstractNumId w:val="19"/>
  </w:num>
  <w:num w:numId="10" w16cid:durableId="480122601">
    <w:abstractNumId w:val="21"/>
  </w:num>
  <w:num w:numId="11" w16cid:durableId="1204564143">
    <w:abstractNumId w:val="9"/>
  </w:num>
  <w:num w:numId="12" w16cid:durableId="1649089620">
    <w:abstractNumId w:val="0"/>
  </w:num>
  <w:num w:numId="13" w16cid:durableId="1601794150">
    <w:abstractNumId w:val="2"/>
  </w:num>
  <w:num w:numId="14" w16cid:durableId="1870602294">
    <w:abstractNumId w:val="10"/>
  </w:num>
  <w:num w:numId="15" w16cid:durableId="410540738">
    <w:abstractNumId w:val="14"/>
  </w:num>
  <w:num w:numId="16" w16cid:durableId="1306544765">
    <w:abstractNumId w:val="3"/>
  </w:num>
  <w:num w:numId="17" w16cid:durableId="990018240">
    <w:abstractNumId w:val="18"/>
  </w:num>
  <w:num w:numId="18" w16cid:durableId="102386338">
    <w:abstractNumId w:val="11"/>
  </w:num>
  <w:num w:numId="19" w16cid:durableId="140194521">
    <w:abstractNumId w:val="15"/>
  </w:num>
  <w:num w:numId="20" w16cid:durableId="1364592198">
    <w:abstractNumId w:val="17"/>
  </w:num>
  <w:num w:numId="21" w16cid:durableId="1313367333">
    <w:abstractNumId w:val="5"/>
  </w:num>
  <w:num w:numId="22" w16cid:durableId="70794886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6A0"/>
    <w:rsid w:val="00047051"/>
    <w:rsid w:val="00047C64"/>
    <w:rsid w:val="00050317"/>
    <w:rsid w:val="00050528"/>
    <w:rsid w:val="00050891"/>
    <w:rsid w:val="00050A6B"/>
    <w:rsid w:val="00050D23"/>
    <w:rsid w:val="00054287"/>
    <w:rsid w:val="000549F0"/>
    <w:rsid w:val="000559CF"/>
    <w:rsid w:val="00055E72"/>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2B2"/>
    <w:rsid w:val="0007338E"/>
    <w:rsid w:val="00073BD4"/>
    <w:rsid w:val="00074480"/>
    <w:rsid w:val="0007536B"/>
    <w:rsid w:val="00075D9C"/>
    <w:rsid w:val="00080DB1"/>
    <w:rsid w:val="000830D4"/>
    <w:rsid w:val="00084E41"/>
    <w:rsid w:val="000852B4"/>
    <w:rsid w:val="0008565B"/>
    <w:rsid w:val="00085B2B"/>
    <w:rsid w:val="00085FC7"/>
    <w:rsid w:val="00086929"/>
    <w:rsid w:val="000870DE"/>
    <w:rsid w:val="00090D4D"/>
    <w:rsid w:val="00091341"/>
    <w:rsid w:val="00091BA0"/>
    <w:rsid w:val="00093796"/>
    <w:rsid w:val="000944A6"/>
    <w:rsid w:val="000946ED"/>
    <w:rsid w:val="0009483A"/>
    <w:rsid w:val="00095219"/>
    <w:rsid w:val="00095AD3"/>
    <w:rsid w:val="000965B7"/>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3005"/>
    <w:rsid w:val="00103E5C"/>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8A8"/>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3FDF"/>
    <w:rsid w:val="001673CA"/>
    <w:rsid w:val="00167A1E"/>
    <w:rsid w:val="00167AF3"/>
    <w:rsid w:val="001705A3"/>
    <w:rsid w:val="00170A7C"/>
    <w:rsid w:val="0017104C"/>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BC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836"/>
    <w:rsid w:val="001B2CFE"/>
    <w:rsid w:val="001B2D04"/>
    <w:rsid w:val="001B3759"/>
    <w:rsid w:val="001B3D20"/>
    <w:rsid w:val="001B4DFC"/>
    <w:rsid w:val="001B546B"/>
    <w:rsid w:val="001B5EBE"/>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53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99A"/>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3AC"/>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B71"/>
    <w:rsid w:val="00310B0A"/>
    <w:rsid w:val="0031175D"/>
    <w:rsid w:val="00311FB2"/>
    <w:rsid w:val="00312459"/>
    <w:rsid w:val="003142A3"/>
    <w:rsid w:val="0031486D"/>
    <w:rsid w:val="003153C7"/>
    <w:rsid w:val="00316798"/>
    <w:rsid w:val="0031784F"/>
    <w:rsid w:val="00317AE8"/>
    <w:rsid w:val="00317BA6"/>
    <w:rsid w:val="003201A4"/>
    <w:rsid w:val="00320F27"/>
    <w:rsid w:val="0032155D"/>
    <w:rsid w:val="00322DBA"/>
    <w:rsid w:val="00322E01"/>
    <w:rsid w:val="00324F09"/>
    <w:rsid w:val="00325BE6"/>
    <w:rsid w:val="003264F1"/>
    <w:rsid w:val="00327CA6"/>
    <w:rsid w:val="00331F83"/>
    <w:rsid w:val="003338BB"/>
    <w:rsid w:val="003349DF"/>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7B"/>
    <w:rsid w:val="003B3C85"/>
    <w:rsid w:val="003B55A9"/>
    <w:rsid w:val="003B59D6"/>
    <w:rsid w:val="003B7948"/>
    <w:rsid w:val="003C02B3"/>
    <w:rsid w:val="003C38E9"/>
    <w:rsid w:val="003C599D"/>
    <w:rsid w:val="003C7614"/>
    <w:rsid w:val="003C782C"/>
    <w:rsid w:val="003D0325"/>
    <w:rsid w:val="003D0980"/>
    <w:rsid w:val="003D0FC1"/>
    <w:rsid w:val="003D3280"/>
    <w:rsid w:val="003D334E"/>
    <w:rsid w:val="003D3609"/>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D0A"/>
    <w:rsid w:val="00415F00"/>
    <w:rsid w:val="004160FB"/>
    <w:rsid w:val="00416931"/>
    <w:rsid w:val="00416A0A"/>
    <w:rsid w:val="00416C0A"/>
    <w:rsid w:val="00417940"/>
    <w:rsid w:val="00422FC5"/>
    <w:rsid w:val="0042323B"/>
    <w:rsid w:val="00423B63"/>
    <w:rsid w:val="00423BDB"/>
    <w:rsid w:val="00423F36"/>
    <w:rsid w:val="0042449E"/>
    <w:rsid w:val="0042557E"/>
    <w:rsid w:val="004268FC"/>
    <w:rsid w:val="00426E60"/>
    <w:rsid w:val="004270E3"/>
    <w:rsid w:val="0043031B"/>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C66"/>
    <w:rsid w:val="00482DD7"/>
    <w:rsid w:val="00482F42"/>
    <w:rsid w:val="00483322"/>
    <w:rsid w:val="00483E3C"/>
    <w:rsid w:val="00485470"/>
    <w:rsid w:val="004862C2"/>
    <w:rsid w:val="0048675E"/>
    <w:rsid w:val="00491877"/>
    <w:rsid w:val="0049226E"/>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339"/>
    <w:rsid w:val="00500DFD"/>
    <w:rsid w:val="00501824"/>
    <w:rsid w:val="00501FC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49B"/>
    <w:rsid w:val="0057683F"/>
    <w:rsid w:val="00576F70"/>
    <w:rsid w:val="00577516"/>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3094"/>
    <w:rsid w:val="005A5112"/>
    <w:rsid w:val="005A5CCE"/>
    <w:rsid w:val="005A67CC"/>
    <w:rsid w:val="005A69E3"/>
    <w:rsid w:val="005B0114"/>
    <w:rsid w:val="005B02B2"/>
    <w:rsid w:val="005B1A64"/>
    <w:rsid w:val="005B278B"/>
    <w:rsid w:val="005B2BD0"/>
    <w:rsid w:val="005B39C0"/>
    <w:rsid w:val="005B39D5"/>
    <w:rsid w:val="005B3FB9"/>
    <w:rsid w:val="005B49B5"/>
    <w:rsid w:val="005B605D"/>
    <w:rsid w:val="005B6969"/>
    <w:rsid w:val="005C04A8"/>
    <w:rsid w:val="005C0AC3"/>
    <w:rsid w:val="005C1164"/>
    <w:rsid w:val="005C1260"/>
    <w:rsid w:val="005C1CE7"/>
    <w:rsid w:val="005C2F29"/>
    <w:rsid w:val="005C314E"/>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4A07"/>
    <w:rsid w:val="00665280"/>
    <w:rsid w:val="00665688"/>
    <w:rsid w:val="00666995"/>
    <w:rsid w:val="0066757F"/>
    <w:rsid w:val="00667DD0"/>
    <w:rsid w:val="006701F5"/>
    <w:rsid w:val="00670751"/>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4F70"/>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3D5A"/>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8CC"/>
    <w:rsid w:val="008C0634"/>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AA4"/>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6849"/>
    <w:rsid w:val="009173A0"/>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AE0"/>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AE4"/>
    <w:rsid w:val="00A97CE6"/>
    <w:rsid w:val="00A97E40"/>
    <w:rsid w:val="00AA0654"/>
    <w:rsid w:val="00AA11D6"/>
    <w:rsid w:val="00AA170E"/>
    <w:rsid w:val="00AA27B3"/>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5CB6"/>
    <w:rsid w:val="00B66BA1"/>
    <w:rsid w:val="00B702BB"/>
    <w:rsid w:val="00B71E39"/>
    <w:rsid w:val="00B72315"/>
    <w:rsid w:val="00B72CC6"/>
    <w:rsid w:val="00B741F2"/>
    <w:rsid w:val="00B75989"/>
    <w:rsid w:val="00B75F17"/>
    <w:rsid w:val="00B77B34"/>
    <w:rsid w:val="00B80DC6"/>
    <w:rsid w:val="00B81E96"/>
    <w:rsid w:val="00B82343"/>
    <w:rsid w:val="00B8312C"/>
    <w:rsid w:val="00B85847"/>
    <w:rsid w:val="00B85A43"/>
    <w:rsid w:val="00B86933"/>
    <w:rsid w:val="00B90A18"/>
    <w:rsid w:val="00B90A1F"/>
    <w:rsid w:val="00B91779"/>
    <w:rsid w:val="00B91E98"/>
    <w:rsid w:val="00B92093"/>
    <w:rsid w:val="00B938BE"/>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40A"/>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0FF2"/>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95B"/>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0425"/>
    <w:rsid w:val="00D12C49"/>
    <w:rsid w:val="00D1331A"/>
    <w:rsid w:val="00D1334E"/>
    <w:rsid w:val="00D133A7"/>
    <w:rsid w:val="00D1382A"/>
    <w:rsid w:val="00D1496F"/>
    <w:rsid w:val="00D1621C"/>
    <w:rsid w:val="00D21661"/>
    <w:rsid w:val="00D21F5F"/>
    <w:rsid w:val="00D21FA0"/>
    <w:rsid w:val="00D226CE"/>
    <w:rsid w:val="00D22E63"/>
    <w:rsid w:val="00D237E7"/>
    <w:rsid w:val="00D2616D"/>
    <w:rsid w:val="00D26EA7"/>
    <w:rsid w:val="00D27255"/>
    <w:rsid w:val="00D27516"/>
    <w:rsid w:val="00D27A9C"/>
    <w:rsid w:val="00D31DC4"/>
    <w:rsid w:val="00D328F9"/>
    <w:rsid w:val="00D32CAC"/>
    <w:rsid w:val="00D3371A"/>
    <w:rsid w:val="00D34676"/>
    <w:rsid w:val="00D35DD6"/>
    <w:rsid w:val="00D36CCD"/>
    <w:rsid w:val="00D40041"/>
    <w:rsid w:val="00D4121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AF5"/>
    <w:rsid w:val="00DD5B62"/>
    <w:rsid w:val="00DD6A08"/>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4CEE"/>
    <w:rsid w:val="00E04DF6"/>
    <w:rsid w:val="00E05D7F"/>
    <w:rsid w:val="00E06CF7"/>
    <w:rsid w:val="00E0753B"/>
    <w:rsid w:val="00E0784B"/>
    <w:rsid w:val="00E07AAF"/>
    <w:rsid w:val="00E07F98"/>
    <w:rsid w:val="00E10CF7"/>
    <w:rsid w:val="00E1210A"/>
    <w:rsid w:val="00E13BF6"/>
    <w:rsid w:val="00E146D3"/>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E75"/>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87CC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0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2E2"/>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0751"/>
    <w:rsid w:val="00FD18E6"/>
    <w:rsid w:val="00FD1E9F"/>
    <w:rsid w:val="00FD2291"/>
    <w:rsid w:val="00FD298F"/>
    <w:rsid w:val="00FD3262"/>
    <w:rsid w:val="00FD33DD"/>
    <w:rsid w:val="00FD5E62"/>
    <w:rsid w:val="00FD6624"/>
    <w:rsid w:val="00FE1F7B"/>
    <w:rsid w:val="00FE367E"/>
    <w:rsid w:val="00FE60EB"/>
    <w:rsid w:val="00FE670B"/>
    <w:rsid w:val="00FE7296"/>
    <w:rsid w:val="00FE7DEA"/>
    <w:rsid w:val="00FF0203"/>
    <w:rsid w:val="00FF1A27"/>
    <w:rsid w:val="00FF1B8B"/>
    <w:rsid w:val="00FF2822"/>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Date">
    <w:name w:val="Date"/>
    <w:basedOn w:val="Normal"/>
    <w:next w:val="Normal"/>
    <w:link w:val="DateChar"/>
    <w:rsid w:val="00DA107E"/>
    <w:pPr>
      <w:ind w:leftChars="2500" w:left="100"/>
    </w:pPr>
  </w:style>
  <w:style w:type="character" w:customStyle="1" w:styleId="DateChar">
    <w:name w:val="Date Char"/>
    <w:basedOn w:val="DefaultParagraphFont"/>
    <w:link w:val="Date"/>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37216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70474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2</cp:revision>
  <dcterms:created xsi:type="dcterms:W3CDTF">2025-02-10T14:54:00Z</dcterms:created>
  <dcterms:modified xsi:type="dcterms:W3CDTF">2025-02-10T14:55:00Z</dcterms:modified>
</cp:coreProperties>
</file>